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Indicadores “Impunidad en delitos de desaparición en México”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casos de desaparición en México constituyen una crisis humanitaria que va en aumento. Durante 2022 el RNPDNO registró una cifra récord de 9,068 personas desaparecidas y no localizadas. El 74% de estos registros corresponde a hombres y el 26% restante a mujeres.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relación con los casos registrados en el RNPDNO, el número de sentencias condenatorias por los delitos de desaparición forzada y cometida por particulares es mínima,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20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estados con más sentencias condenatorias registradas en el periodo de 2019 a 2022 por los delitos de desaparición fueron Guanajuato (28), el Estado de México (20), Michoacán (11) y Nuevo León (9).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2019 a 2022 el RNPDNO  registró 35,669 desapariciones, mientras que los poderes judiciales locales solo reportaron 141 sentencias condenatorias por delitos de desaparición forzada y cometida por particulares. Esto se traduce en que, en este periodo, la impunidad acumulada para el delito de desaparición fue de 99.6% a nivel nacional.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20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Aguascalientes, Chiapas, Ciudad de México, Guerrero, Oaxaca, Quintana Roo y Yucatán presentan un 100% de impunidad acumulada en desapariciones porque no reportaron ninguna sentencia condenatoria por los delitos de desaparición y desaparición forzada en el periodo de tiempo considerado.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0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estados con menor impunidad acumulada en delitos de desaparición son Campeche (95.2%), Colima (97.5%) y Guanajuato (97.8%).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nivel federal,  de 2006 a 2022, la impunidad acumulada para los delitos de desaparición forzada de personas fue de 98.5%; 100%para los delitos de desaparición cometida por particulares; y la impunidad acumulada global para ambos delitos fue de 99 por ciento.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el periodo de 2006 a 2022 la tasa de registros al RNPDNO por cada 100,000 habitantes pasó de 0.3 a 7, lo que representa un incremento de más del 200%. Si analizamos las tasas de desaparición a nivel estatal, durante este periodo 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ingún estado presentó una disminución.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Durante 2022 la tasa estatal promedio de hombres desaparecidos fue de 11 por cada 100,000 hombres.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200" w:before="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14 de las 32 entidades federativas la tasa de desaparición de hombres está por arriba del promedio.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00" w:before="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tres estados con las tasas más elevadas fueron Zacatecas (46.5%), Tamaulipas (28.4) y Quintana Roo (25.4).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2022, la tasa estatal promedio de mujeres desaparecidas fue de 3.36 por cada 100,000 mujeres.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before="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un tercio de los estados la tasa de desapariciones de mujeres supera el promedio.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before="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Durante este periodo, Quintana Roo (14), Ciudad de México (11.6) y Zacatecas (9.2) fueron los estados con las tasas más altas.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acuerdo con el Mapa de hallazgos de fosas clandestinas publicado por la CNB,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se estima que en México se han localizado 5,698 fosas clandestinas en el periodo que va de 2006 a abril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00" w:before="0" w:lineRule="auto"/>
        <w:ind w:left="144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estados donde más fosas clandestinas fueron localizadas en este periodo son Veracruz (668), Tamaulipas (554), Guerrero (498), Sinaloa (484) y Chihuahua (415).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Si bien no se puede afirmar que todas las desapariciones corresponden necesariamente a un  homicidio doloso,ambos delitos están relacionados y son indicadores de los niveles de violencia que se vive en el país. Por ejemplo, durante 2022 Baja California, Quintana Roo, Zacatecas, Morelos y Colima fueron estados donde tanto la tasa de desapariciones como la tasa de defunciones por homicidio estuvieron entre las más altas del país.</w:t>
      </w:r>
    </w:p>
    <w:p w:rsidR="00000000" w:rsidDel="00000000" w:rsidP="00000000" w:rsidRDefault="00000000" w:rsidRPr="00000000" w14:paraId="00000015">
      <w:pPr>
        <w:spacing w:after="200" w:before="0" w:lineRule="auto"/>
        <w:ind w:left="144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Rule="auto"/>
        <w:ind w:left="720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 acuerdo con el INEGI,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 2022 se registró la existencia de 1,004 laboratorios de servicios periciales y/o servicios médico forenses. Esta cifra representa un incremento del 3% con respecto a 2021, año en que existían 974 laboratorios.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Dentro de los registros de información de investigación criminalística de la FGR, en 2022 se reportaron 38,189 perfiles genéticos de familiares, y 24,682 perfiles genéticos de cadáveres y/o restos humanos.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 37.5% de los cadáveres y/o restos humanos recibidos por la FGR o alguna de las Unidades Estatales en 2022 no han sido identificados.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00" w:before="0" w:lineRule="auto"/>
        <w:ind w:left="1440" w:hanging="36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Los estados que concentran más casos no identificados son Baja California (8 240), Ciudad de México (940), Jalisco (815), Estado de México (757) y Sonora (594).</w:t>
      </w:r>
    </w:p>
    <w:p w:rsidR="00000000" w:rsidDel="00000000" w:rsidP="00000000" w:rsidRDefault="00000000" w:rsidRPr="00000000" w14:paraId="0000001A">
      <w:pPr>
        <w:spacing w:after="20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ind w:left="72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200" w:lineRule="auto"/>
      <w:ind w:left="1440" w:firstLine="0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right"/>
      <w:rPr>
        <w:rFonts w:ascii="Open Sans" w:cs="Open Sans" w:eastAsia="Open Sans" w:hAnsi="Open Sans"/>
        <w:b w:val="1"/>
        <w:color w:val="666666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b w:val="1"/>
        <w:sz w:val="24"/>
        <w:szCs w:val="24"/>
        <w:rtl w:val="0"/>
      </w:rPr>
      <w:t xml:space="preserve">www.impunidadcero.org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right"/>
      <w:rPr>
        <w:rFonts w:ascii="Open Sans" w:cs="Open Sans" w:eastAsia="Open Sans" w:hAnsi="Open Sans"/>
        <w:b w:val="1"/>
        <w:color w:val="666666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b w:val="1"/>
        <w:color w:val="666666"/>
        <w:sz w:val="24"/>
        <w:szCs w:val="24"/>
        <w:rtl w:val="0"/>
      </w:rPr>
      <w:t xml:space="preserve">contacto@impunidadcero.org</w:t>
    </w:r>
    <w:r w:rsidDel="00000000" w:rsidR="00000000" w:rsidRPr="00000000">
      <w:rPr>
        <w:rFonts w:ascii="Open Sans" w:cs="Open Sans" w:eastAsia="Open Sans" w:hAnsi="Open Sans"/>
        <w:b w:val="1"/>
        <w:color w:val="666666"/>
        <w:sz w:val="24"/>
        <w:szCs w:val="24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3882262</wp:posOffset>
          </wp:positionH>
          <wp:positionV relativeFrom="paragraph">
            <wp:posOffset>-219074</wp:posOffset>
          </wp:positionV>
          <wp:extent cx="1899413" cy="10620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9413" cy="1062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